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BC2B26" w:rsidRDefault="00E65BCB" w:rsidP="009765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0"/>
          <w:szCs w:val="20"/>
          <w:lang w:bidi="ar-SA"/>
        </w:rPr>
      </w:pPr>
      <w:r w:rsidRPr="00BC2B26">
        <w:rPr>
          <w:rFonts w:ascii="Tahoma" w:eastAsia="Times New Roman" w:hAnsi="Tahoma" w:cs="Tahoma"/>
          <w:sz w:val="20"/>
          <w:szCs w:val="20"/>
          <w:lang w:bidi="ar-SA"/>
        </w:rPr>
        <w:t xml:space="preserve">Informacja prasowa, </w:t>
      </w:r>
      <w:r w:rsidR="00D5632D" w:rsidRPr="00BC2B26">
        <w:rPr>
          <w:rFonts w:ascii="Tahoma" w:eastAsia="Times New Roman" w:hAnsi="Tahoma" w:cs="Tahoma"/>
          <w:sz w:val="20"/>
          <w:szCs w:val="20"/>
          <w:lang w:bidi="ar-SA"/>
        </w:rPr>
        <w:t>luty</w:t>
      </w:r>
      <w:r w:rsidR="006876DB" w:rsidRPr="00BC2B26">
        <w:rPr>
          <w:rFonts w:ascii="Tahoma" w:eastAsia="Times New Roman" w:hAnsi="Tahoma" w:cs="Tahoma"/>
          <w:sz w:val="20"/>
          <w:szCs w:val="20"/>
          <w:lang w:bidi="ar-SA"/>
        </w:rPr>
        <w:t xml:space="preserve"> 2020</w:t>
      </w:r>
    </w:p>
    <w:p w:rsidR="00D5632D" w:rsidRPr="00BC2B26" w:rsidRDefault="00D5632D" w:rsidP="009765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9D0AB5" w:rsidRPr="00BC2B26" w:rsidRDefault="00956821" w:rsidP="00976530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BC2B26">
        <w:rPr>
          <w:rFonts w:ascii="Tahoma" w:hAnsi="Tahoma" w:cs="Tahoma"/>
          <w:b/>
          <w:sz w:val="24"/>
          <w:szCs w:val="24"/>
        </w:rPr>
        <w:t xml:space="preserve">Aplikacja </w:t>
      </w:r>
      <w:r w:rsidR="00CD3CA5" w:rsidRPr="00BC2B26">
        <w:rPr>
          <w:rFonts w:ascii="Tahoma" w:hAnsi="Tahoma" w:cs="Tahoma"/>
          <w:b/>
          <w:sz w:val="24"/>
          <w:szCs w:val="24"/>
        </w:rPr>
        <w:t>etykiety antykradzieżowej</w:t>
      </w:r>
      <w:r w:rsidRPr="00BC2B26">
        <w:rPr>
          <w:rFonts w:ascii="Tahoma" w:hAnsi="Tahoma" w:cs="Tahoma"/>
          <w:b/>
          <w:sz w:val="24"/>
          <w:szCs w:val="24"/>
        </w:rPr>
        <w:t xml:space="preserve"> - j</w:t>
      </w:r>
      <w:r w:rsidR="008676C4" w:rsidRPr="00BC2B26">
        <w:rPr>
          <w:rFonts w:ascii="Tahoma" w:hAnsi="Tahoma" w:cs="Tahoma"/>
          <w:b/>
          <w:sz w:val="24"/>
          <w:szCs w:val="24"/>
        </w:rPr>
        <w:t xml:space="preserve">ak „z automatu” </w:t>
      </w:r>
      <w:r w:rsidR="001017CB" w:rsidRPr="00BC2B26">
        <w:rPr>
          <w:rFonts w:ascii="Tahoma" w:hAnsi="Tahoma" w:cs="Tahoma"/>
          <w:b/>
          <w:sz w:val="24"/>
          <w:szCs w:val="24"/>
        </w:rPr>
        <w:t>dokonać zabezpieczenia</w:t>
      </w:r>
      <w:r w:rsidR="008676C4" w:rsidRPr="00BC2B26">
        <w:rPr>
          <w:rFonts w:ascii="Tahoma" w:hAnsi="Tahoma" w:cs="Tahoma"/>
          <w:b/>
          <w:sz w:val="24"/>
          <w:szCs w:val="24"/>
        </w:rPr>
        <w:t xml:space="preserve"> produkt</w:t>
      </w:r>
      <w:r w:rsidR="001017CB" w:rsidRPr="00BC2B26">
        <w:rPr>
          <w:rFonts w:ascii="Tahoma" w:hAnsi="Tahoma" w:cs="Tahoma"/>
          <w:b/>
          <w:sz w:val="24"/>
          <w:szCs w:val="24"/>
        </w:rPr>
        <w:t>u</w:t>
      </w:r>
      <w:r w:rsidR="00CD3CA5" w:rsidRPr="00BC2B26">
        <w:rPr>
          <w:rFonts w:ascii="Tahoma" w:hAnsi="Tahoma" w:cs="Tahoma"/>
          <w:b/>
          <w:sz w:val="24"/>
          <w:szCs w:val="24"/>
        </w:rPr>
        <w:t xml:space="preserve"> </w:t>
      </w:r>
      <w:r w:rsidR="008676C4" w:rsidRPr="00BC2B26">
        <w:rPr>
          <w:rFonts w:ascii="Tahoma" w:hAnsi="Tahoma" w:cs="Tahoma"/>
          <w:b/>
          <w:sz w:val="24"/>
          <w:szCs w:val="24"/>
        </w:rPr>
        <w:t>przed kradzieżą?</w:t>
      </w:r>
    </w:p>
    <w:p w:rsidR="008676C4" w:rsidRPr="00BC2B26" w:rsidRDefault="008676C4" w:rsidP="00976530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BC2B26">
        <w:rPr>
          <w:rFonts w:ascii="Tahoma" w:hAnsi="Tahoma" w:cs="Tahoma"/>
          <w:b/>
          <w:sz w:val="24"/>
          <w:szCs w:val="24"/>
        </w:rPr>
        <w:t xml:space="preserve">Producenci </w:t>
      </w:r>
      <w:r w:rsidR="006C018B" w:rsidRPr="00BC2B26">
        <w:rPr>
          <w:rFonts w:ascii="Tahoma" w:hAnsi="Tahoma" w:cs="Tahoma"/>
          <w:b/>
          <w:sz w:val="24"/>
          <w:szCs w:val="24"/>
        </w:rPr>
        <w:t xml:space="preserve">towarów </w:t>
      </w:r>
      <w:r w:rsidRPr="00BC2B26">
        <w:rPr>
          <w:rFonts w:ascii="Tahoma" w:hAnsi="Tahoma" w:cs="Tahoma"/>
          <w:b/>
          <w:sz w:val="24"/>
          <w:szCs w:val="24"/>
        </w:rPr>
        <w:t>o znacznej wartości, przeznaczonych do sprzedaży sk</w:t>
      </w:r>
      <w:r w:rsidR="006C018B" w:rsidRPr="00BC2B26">
        <w:rPr>
          <w:rFonts w:ascii="Tahoma" w:hAnsi="Tahoma" w:cs="Tahoma"/>
          <w:b/>
          <w:sz w:val="24"/>
          <w:szCs w:val="24"/>
        </w:rPr>
        <w:t xml:space="preserve">lepowej, często zobligowani są </w:t>
      </w:r>
      <w:r w:rsidRPr="00BC2B26">
        <w:rPr>
          <w:rFonts w:ascii="Tahoma" w:hAnsi="Tahoma" w:cs="Tahoma"/>
          <w:b/>
          <w:sz w:val="24"/>
          <w:szCs w:val="24"/>
        </w:rPr>
        <w:t xml:space="preserve">do </w:t>
      </w:r>
      <w:r w:rsidR="001017CB" w:rsidRPr="00BC2B26">
        <w:rPr>
          <w:rFonts w:ascii="Tahoma" w:hAnsi="Tahoma" w:cs="Tahoma"/>
          <w:b/>
          <w:sz w:val="24"/>
          <w:szCs w:val="24"/>
        </w:rPr>
        <w:t>zabezpieczenia</w:t>
      </w:r>
      <w:r w:rsidR="00BA7711">
        <w:rPr>
          <w:rFonts w:ascii="Tahoma" w:hAnsi="Tahoma" w:cs="Tahoma"/>
          <w:b/>
          <w:sz w:val="24"/>
          <w:szCs w:val="24"/>
        </w:rPr>
        <w:t xml:space="preserve"> produktu. Zdarza się, że </w:t>
      </w:r>
      <w:r w:rsidR="006C018B" w:rsidRPr="00BC2B26">
        <w:rPr>
          <w:rFonts w:ascii="Tahoma" w:hAnsi="Tahoma" w:cs="Tahoma"/>
          <w:b/>
          <w:sz w:val="24"/>
          <w:szCs w:val="24"/>
        </w:rPr>
        <w:t>wymogi te stawiane są</w:t>
      </w:r>
      <w:r w:rsidRPr="00BC2B26">
        <w:rPr>
          <w:rFonts w:ascii="Tahoma" w:hAnsi="Tahoma" w:cs="Tahoma"/>
          <w:b/>
          <w:sz w:val="24"/>
          <w:szCs w:val="24"/>
        </w:rPr>
        <w:t xml:space="preserve"> już na etapie wytwarzania. Powszechne zastosowanie w tego typu zabezpieczeniach mają </w:t>
      </w:r>
      <w:proofErr w:type="spellStart"/>
      <w:r w:rsidRPr="00BC2B26">
        <w:rPr>
          <w:rFonts w:ascii="Tahoma" w:hAnsi="Tahoma" w:cs="Tahoma"/>
          <w:b/>
          <w:sz w:val="24"/>
          <w:szCs w:val="24"/>
        </w:rPr>
        <w:t>tagi</w:t>
      </w:r>
      <w:proofErr w:type="spellEnd"/>
      <w:r w:rsidRPr="00BC2B26">
        <w:rPr>
          <w:rFonts w:ascii="Tahoma" w:hAnsi="Tahoma" w:cs="Tahoma"/>
          <w:b/>
          <w:sz w:val="24"/>
          <w:szCs w:val="24"/>
        </w:rPr>
        <w:t xml:space="preserve"> antykradzieżowe typu </w:t>
      </w:r>
      <w:proofErr w:type="spellStart"/>
      <w:r w:rsidR="00EE7D76" w:rsidRPr="00BC2B26">
        <w:rPr>
          <w:rFonts w:ascii="Tahoma" w:hAnsi="Tahoma" w:cs="Tahoma"/>
          <w:b/>
          <w:sz w:val="24"/>
          <w:szCs w:val="24"/>
        </w:rPr>
        <w:t>S</w:t>
      </w:r>
      <w:bookmarkStart w:id="0" w:name="_GoBack"/>
      <w:bookmarkEnd w:id="0"/>
      <w:r w:rsidRPr="00BC2B26">
        <w:rPr>
          <w:rFonts w:ascii="Tahoma" w:hAnsi="Tahoma" w:cs="Tahoma"/>
          <w:b/>
          <w:sz w:val="24"/>
          <w:szCs w:val="24"/>
        </w:rPr>
        <w:t>ensormatic</w:t>
      </w:r>
      <w:proofErr w:type="spellEnd"/>
      <w:r w:rsidRPr="00BC2B26">
        <w:rPr>
          <w:rFonts w:ascii="Tahoma" w:hAnsi="Tahoma" w:cs="Tahoma"/>
          <w:b/>
          <w:sz w:val="24"/>
          <w:szCs w:val="24"/>
        </w:rPr>
        <w:t xml:space="preserve">. Mogą one funkcjonować w formie doczepianych klipsów, przewieszek lub etykiet (Ultra Strip II/III). Tym samym producenci starają się automatyzować procesy produkcyjne i wykorzystują automatyczną aplikację </w:t>
      </w:r>
      <w:r w:rsidR="00CD3CA5" w:rsidRPr="00BC2B26">
        <w:rPr>
          <w:rFonts w:ascii="Tahoma" w:hAnsi="Tahoma" w:cs="Tahoma"/>
          <w:b/>
          <w:sz w:val="24"/>
          <w:szCs w:val="24"/>
        </w:rPr>
        <w:t>etykiety</w:t>
      </w:r>
      <w:r w:rsidRPr="00BC2B26">
        <w:rPr>
          <w:rFonts w:ascii="Tahoma" w:hAnsi="Tahoma" w:cs="Tahoma"/>
          <w:b/>
          <w:sz w:val="24"/>
          <w:szCs w:val="24"/>
        </w:rPr>
        <w:t>.</w:t>
      </w:r>
      <w:r w:rsidR="006D185D" w:rsidRPr="00BC2B26">
        <w:rPr>
          <w:rFonts w:ascii="Tahoma" w:hAnsi="Tahoma" w:cs="Tahoma"/>
          <w:b/>
          <w:sz w:val="24"/>
          <w:szCs w:val="24"/>
        </w:rPr>
        <w:t xml:space="preserve"> A jak przebiega automatyzacja? Na to pytanie odpowiadamy poniżej. </w:t>
      </w:r>
    </w:p>
    <w:p w:rsidR="00110022" w:rsidRPr="00BC2B26" w:rsidRDefault="00110022" w:rsidP="00976530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0022" w:rsidRPr="00BC2B26" w:rsidRDefault="00110022" w:rsidP="00110022">
      <w:pPr>
        <w:keepNext/>
        <w:spacing w:before="100" w:line="360" w:lineRule="auto"/>
        <w:jc w:val="center"/>
      </w:pPr>
      <w:r w:rsidRPr="00BC2B26"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159546" cy="2904303"/>
            <wp:effectExtent l="19050" t="0" r="0" b="0"/>
            <wp:docPr id="1" name="Obraz 0" descr="Materiały prasowe - Aplikacja tagó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ły prasowe - Aplikacja tagów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079" cy="29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C4" w:rsidRPr="00BC2B26" w:rsidRDefault="00110022" w:rsidP="00110022">
      <w:pPr>
        <w:pStyle w:val="Legenda"/>
        <w:jc w:val="center"/>
        <w:rPr>
          <w:rFonts w:ascii="Tahoma" w:hAnsi="Tahoma" w:cs="Tahoma"/>
          <w:sz w:val="24"/>
          <w:szCs w:val="24"/>
        </w:rPr>
      </w:pPr>
      <w:r w:rsidRPr="00BC2B26">
        <w:t>Materiały prasowe Etisoft</w:t>
      </w:r>
    </w:p>
    <w:p w:rsidR="00110022" w:rsidRPr="00BC2B26" w:rsidRDefault="00110022" w:rsidP="00110022">
      <w:pPr>
        <w:spacing w:before="100" w:line="360" w:lineRule="auto"/>
        <w:jc w:val="center"/>
        <w:rPr>
          <w:rFonts w:ascii="Tahoma" w:hAnsi="Tahoma" w:cs="Tahoma"/>
          <w:sz w:val="24"/>
          <w:szCs w:val="24"/>
        </w:rPr>
      </w:pPr>
    </w:p>
    <w:p w:rsidR="00110022" w:rsidRPr="00BC2B26" w:rsidRDefault="008676C4" w:rsidP="00976530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BC2B26">
        <w:rPr>
          <w:rFonts w:ascii="Tahoma" w:hAnsi="Tahoma" w:cs="Tahoma"/>
          <w:b/>
          <w:sz w:val="24"/>
          <w:szCs w:val="24"/>
        </w:rPr>
        <w:t xml:space="preserve">Aplikacja </w:t>
      </w:r>
      <w:proofErr w:type="spellStart"/>
      <w:r w:rsidRPr="00BC2B26">
        <w:rPr>
          <w:rFonts w:ascii="Tahoma" w:hAnsi="Tahoma" w:cs="Tahoma"/>
          <w:b/>
          <w:sz w:val="24"/>
          <w:szCs w:val="24"/>
        </w:rPr>
        <w:t>taga</w:t>
      </w:r>
      <w:proofErr w:type="spellEnd"/>
      <w:r w:rsidRPr="00BC2B26">
        <w:rPr>
          <w:rFonts w:ascii="Tahoma" w:hAnsi="Tahoma" w:cs="Tahoma"/>
          <w:b/>
          <w:sz w:val="24"/>
          <w:szCs w:val="24"/>
        </w:rPr>
        <w:t xml:space="preserve"> antykradzieżowego </w:t>
      </w:r>
      <w:r w:rsidR="00F77FC8" w:rsidRPr="00BC2B26">
        <w:rPr>
          <w:rFonts w:ascii="Tahoma" w:hAnsi="Tahoma" w:cs="Tahoma"/>
          <w:b/>
          <w:sz w:val="24"/>
          <w:szCs w:val="24"/>
        </w:rPr>
        <w:t>– sprawdzona forma zabezpieczenia</w:t>
      </w:r>
    </w:p>
    <w:p w:rsidR="00976530" w:rsidRPr="00BC2B26" w:rsidRDefault="00093A7A" w:rsidP="00976530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Fonts w:ascii="Tahoma" w:hAnsi="Tahoma" w:cs="Tahoma"/>
          <w:sz w:val="24"/>
          <w:szCs w:val="24"/>
        </w:rPr>
        <w:lastRenderedPageBreak/>
        <w:t xml:space="preserve">Dołączanie zabezpieczenia do produktu w formie klipsa może odbywać się ręcznie lub półautomatycznie. Można ten proces zautomatyzować poprzez wykorzystanie etykiet nawiniętych na rolce oraz przy użyciu dedykowanego aplikatura. </w:t>
      </w:r>
      <w:r w:rsidR="008676C4" w:rsidRPr="00BC2B26">
        <w:rPr>
          <w:rFonts w:ascii="Tahoma" w:hAnsi="Tahoma" w:cs="Tahoma"/>
          <w:sz w:val="24"/>
          <w:szCs w:val="24"/>
        </w:rPr>
        <w:t xml:space="preserve">Jedną z branż, </w:t>
      </w:r>
      <w:r w:rsidR="006C018B" w:rsidRPr="00BC2B26">
        <w:rPr>
          <w:rFonts w:ascii="Tahoma" w:hAnsi="Tahoma" w:cs="Tahoma"/>
          <w:sz w:val="24"/>
          <w:szCs w:val="24"/>
        </w:rPr>
        <w:t>w której</w:t>
      </w:r>
      <w:r w:rsidR="008676C4" w:rsidRPr="00BC2B26">
        <w:rPr>
          <w:rFonts w:ascii="Tahoma" w:hAnsi="Tahoma" w:cs="Tahoma"/>
          <w:sz w:val="24"/>
          <w:szCs w:val="24"/>
        </w:rPr>
        <w:t xml:space="preserve"> stosuje </w:t>
      </w:r>
      <w:r w:rsidR="00E040AC" w:rsidRPr="00BC2B26">
        <w:rPr>
          <w:rFonts w:ascii="Tahoma" w:hAnsi="Tahoma" w:cs="Tahoma"/>
          <w:sz w:val="24"/>
          <w:szCs w:val="24"/>
        </w:rPr>
        <w:t xml:space="preserve">się </w:t>
      </w:r>
      <w:r w:rsidR="008676C4" w:rsidRPr="00BC2B26">
        <w:rPr>
          <w:rFonts w:ascii="Tahoma" w:hAnsi="Tahoma" w:cs="Tahoma"/>
          <w:sz w:val="24"/>
          <w:szCs w:val="24"/>
        </w:rPr>
        <w:t>tego typu zabezpieczenia jest branża kosmetyczna. Niektóre produkty ze względu na dużą wartość i małe gabaryty mogą stać</w:t>
      </w:r>
      <w:r w:rsidR="006C018B" w:rsidRPr="00BC2B26">
        <w:rPr>
          <w:rFonts w:ascii="Tahoma" w:hAnsi="Tahoma" w:cs="Tahoma"/>
          <w:sz w:val="24"/>
          <w:szCs w:val="24"/>
        </w:rPr>
        <w:t xml:space="preserve"> się łatwą zdobyczą dla złodzieja</w:t>
      </w:r>
      <w:r w:rsidR="008676C4" w:rsidRPr="00BC2B26">
        <w:rPr>
          <w:rFonts w:ascii="Tahoma" w:hAnsi="Tahoma" w:cs="Tahoma"/>
          <w:sz w:val="24"/>
          <w:szCs w:val="24"/>
        </w:rPr>
        <w:t>. W celu zachowania estetyki produktu, trudności w zlokalizowaniu i usunięciu zabezpieczenia</w:t>
      </w:r>
      <w:r w:rsidR="00CD3CA5" w:rsidRPr="00BC2B26">
        <w:rPr>
          <w:rFonts w:ascii="Tahoma" w:hAnsi="Tahoma" w:cs="Tahoma"/>
          <w:sz w:val="24"/>
          <w:szCs w:val="24"/>
        </w:rPr>
        <w:t>,</w:t>
      </w:r>
      <w:r w:rsidR="008676C4" w:rsidRPr="00BC2B26">
        <w:rPr>
          <w:rFonts w:ascii="Tahoma" w:hAnsi="Tahoma" w:cs="Tahoma"/>
          <w:sz w:val="24"/>
          <w:szCs w:val="24"/>
        </w:rPr>
        <w:t xml:space="preserve"> etyk</w:t>
      </w:r>
      <w:r w:rsidR="00CD3CA5" w:rsidRPr="00BC2B26">
        <w:rPr>
          <w:rFonts w:ascii="Tahoma" w:hAnsi="Tahoma" w:cs="Tahoma"/>
          <w:sz w:val="24"/>
          <w:szCs w:val="24"/>
        </w:rPr>
        <w:t>iety zabezpieczające</w:t>
      </w:r>
      <w:r w:rsidR="008676C4" w:rsidRPr="00BC2B26">
        <w:rPr>
          <w:rFonts w:ascii="Tahoma" w:hAnsi="Tahoma" w:cs="Tahoma"/>
          <w:sz w:val="24"/>
          <w:szCs w:val="24"/>
        </w:rPr>
        <w:t xml:space="preserve"> przykleja się na wewnętrznej części pudełek, do których włożone są kosmetyki.</w:t>
      </w:r>
      <w:r w:rsidR="006C018B" w:rsidRPr="00BC2B26">
        <w:rPr>
          <w:rFonts w:ascii="Tahoma" w:hAnsi="Tahoma" w:cs="Tahoma"/>
          <w:sz w:val="24"/>
          <w:szCs w:val="24"/>
        </w:rPr>
        <w:t xml:space="preserve"> </w:t>
      </w:r>
      <w:r w:rsidR="008676C4" w:rsidRPr="00BC2B26">
        <w:rPr>
          <w:rFonts w:ascii="Tahoma" w:hAnsi="Tahoma" w:cs="Tahoma"/>
          <w:sz w:val="24"/>
          <w:szCs w:val="24"/>
        </w:rPr>
        <w:t xml:space="preserve">Aplikacja </w:t>
      </w:r>
      <w:proofErr w:type="spellStart"/>
      <w:r w:rsidR="008676C4" w:rsidRPr="00BC2B26">
        <w:rPr>
          <w:rFonts w:ascii="Tahoma" w:hAnsi="Tahoma" w:cs="Tahoma"/>
          <w:sz w:val="24"/>
          <w:szCs w:val="24"/>
        </w:rPr>
        <w:t>taga</w:t>
      </w:r>
      <w:proofErr w:type="spellEnd"/>
      <w:r w:rsidR="008676C4" w:rsidRPr="00BC2B26">
        <w:rPr>
          <w:rFonts w:ascii="Tahoma" w:hAnsi="Tahoma" w:cs="Tahoma"/>
          <w:sz w:val="24"/>
          <w:szCs w:val="24"/>
        </w:rPr>
        <w:t xml:space="preserve"> antykradzieżowego w takim przypadku odbywa się na etapie, gdy pudełko jest rozłożone w formie kartonika. Pozwala to na uzyskanie dużej wydajności i powtarza</w:t>
      </w:r>
      <w:r w:rsidR="006C018B" w:rsidRPr="00BC2B26">
        <w:rPr>
          <w:rFonts w:ascii="Tahoma" w:hAnsi="Tahoma" w:cs="Tahoma"/>
          <w:sz w:val="24"/>
          <w:szCs w:val="24"/>
        </w:rPr>
        <w:t>lności znakowania</w:t>
      </w:r>
      <w:r w:rsidR="00976530" w:rsidRPr="00BC2B26">
        <w:rPr>
          <w:rFonts w:ascii="Tahoma" w:hAnsi="Tahoma" w:cs="Tahoma"/>
          <w:sz w:val="24"/>
          <w:szCs w:val="24"/>
        </w:rPr>
        <w:t>.</w:t>
      </w:r>
    </w:p>
    <w:p w:rsidR="00976530" w:rsidRPr="00BC2B26" w:rsidRDefault="00976530" w:rsidP="00976530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Fonts w:ascii="Tahoma" w:hAnsi="Tahoma" w:cs="Tahoma"/>
          <w:sz w:val="24"/>
          <w:szCs w:val="24"/>
          <w:shd w:val="clear" w:color="auto" w:fill="FFFFFF"/>
        </w:rPr>
        <w:t xml:space="preserve">Przykład zastosowania: klient – duży zakład drukarski – dostarcza do wytwórcy kosmetyków opakowania kartonowe. </w:t>
      </w:r>
      <w:r w:rsidR="00CD3CA5" w:rsidRPr="00BC2B26">
        <w:rPr>
          <w:rFonts w:ascii="Tahoma" w:hAnsi="Tahoma" w:cs="Tahoma"/>
          <w:sz w:val="24"/>
          <w:szCs w:val="24"/>
          <w:shd w:val="clear" w:color="auto" w:fill="FFFFFF"/>
        </w:rPr>
        <w:t>Kluczową kwestią dołączenie do opakowania etykiety</w:t>
      </w:r>
      <w:r w:rsidRPr="00BC2B26">
        <w:rPr>
          <w:rStyle w:val="Pogrubienie"/>
          <w:rFonts w:ascii="Tahoma" w:hAnsi="Tahoma" w:cs="Tahoma"/>
          <w:b w:val="0"/>
          <w:sz w:val="24"/>
          <w:szCs w:val="24"/>
          <w:shd w:val="clear" w:color="auto" w:fill="FFFFFF"/>
        </w:rPr>
        <w:t xml:space="preserve"> antykradzieżow</w:t>
      </w:r>
      <w:r w:rsidR="00CD3CA5" w:rsidRPr="00BC2B26">
        <w:rPr>
          <w:rStyle w:val="Pogrubienie"/>
          <w:rFonts w:ascii="Tahoma" w:hAnsi="Tahoma" w:cs="Tahoma"/>
          <w:b w:val="0"/>
          <w:sz w:val="24"/>
          <w:szCs w:val="24"/>
          <w:shd w:val="clear" w:color="auto" w:fill="FFFFFF"/>
        </w:rPr>
        <w:t>ej</w:t>
      </w:r>
      <w:r w:rsidRPr="00BC2B26">
        <w:rPr>
          <w:rFonts w:ascii="Tahoma" w:hAnsi="Tahoma" w:cs="Tahoma"/>
          <w:sz w:val="24"/>
          <w:szCs w:val="24"/>
          <w:shd w:val="clear" w:color="auto" w:fill="FFFFFF"/>
        </w:rPr>
        <w:t>. Ze względu na coraz większe ilości i rodzaje opakowań dotychczasowe znakowanie ręczne nie jest wydajne ani opłacalne. Dobrym rozwiązaniem w takiej sytuacji jest połączenie automatycznego podajnika kartoników, transportera taśmowego, </w:t>
      </w:r>
      <w:r w:rsidRPr="00BC2B26">
        <w:rPr>
          <w:rStyle w:val="Pogrubienie"/>
          <w:rFonts w:ascii="Tahoma" w:hAnsi="Tahoma" w:cs="Tahoma"/>
          <w:b w:val="0"/>
          <w:sz w:val="24"/>
          <w:szCs w:val="24"/>
          <w:shd w:val="clear" w:color="auto" w:fill="FFFFFF"/>
        </w:rPr>
        <w:t xml:space="preserve">aplikatora etykiet antykradzieżowych </w:t>
      </w:r>
      <w:r w:rsidRPr="00BC2B26">
        <w:rPr>
          <w:rFonts w:ascii="Tahoma" w:hAnsi="Tahoma" w:cs="Tahoma"/>
          <w:sz w:val="24"/>
          <w:szCs w:val="24"/>
          <w:shd w:val="clear" w:color="auto" w:fill="FFFFFF"/>
        </w:rPr>
        <w:t>oraz magazynka odbiorczego na oznakowane produkty.</w:t>
      </w:r>
    </w:p>
    <w:p w:rsidR="008676C4" w:rsidRPr="00BC2B26" w:rsidRDefault="008676C4" w:rsidP="00976530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BC2B26">
        <w:rPr>
          <w:rFonts w:ascii="Tahoma" w:eastAsia="Times New Roman" w:hAnsi="Tahoma" w:cs="Tahoma"/>
          <w:sz w:val="24"/>
          <w:szCs w:val="24"/>
          <w:lang w:bidi="ar-SA"/>
        </w:rPr>
        <w:t> </w:t>
      </w:r>
    </w:p>
    <w:p w:rsidR="00110022" w:rsidRPr="00BC2B26" w:rsidRDefault="00110022" w:rsidP="00110022">
      <w:pPr>
        <w:keepNext/>
        <w:widowControl/>
        <w:shd w:val="clear" w:color="auto" w:fill="FFFFFF"/>
        <w:autoSpaceDE/>
        <w:autoSpaceDN/>
        <w:spacing w:line="360" w:lineRule="auto"/>
        <w:jc w:val="center"/>
      </w:pPr>
      <w:r w:rsidRPr="00BC2B26"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3632074" cy="2642495"/>
            <wp:effectExtent l="19050" t="0" r="6476" b="0"/>
            <wp:docPr id="2" name="Obraz 1" descr="Materiały prasowe - Aplikacja tagó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ły prasowe - Aplikacja tagów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52" cy="26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22" w:rsidRPr="00BC2B26" w:rsidRDefault="00110022" w:rsidP="00110022">
      <w:pPr>
        <w:pStyle w:val="Legenda"/>
        <w:jc w:val="center"/>
        <w:rPr>
          <w:rFonts w:ascii="Tahoma" w:hAnsi="Tahoma" w:cs="Tahoma"/>
          <w:sz w:val="24"/>
          <w:szCs w:val="24"/>
        </w:rPr>
      </w:pPr>
      <w:r w:rsidRPr="00BC2B26">
        <w:t>Materiały prasowe Etisoft</w:t>
      </w:r>
    </w:p>
    <w:p w:rsidR="00110022" w:rsidRPr="00BC2B26" w:rsidRDefault="00110022" w:rsidP="00110022">
      <w:pPr>
        <w:pStyle w:val="Legenda"/>
        <w:jc w:val="both"/>
        <w:rPr>
          <w:rFonts w:ascii="Tahoma" w:eastAsia="Times New Roman" w:hAnsi="Tahoma" w:cs="Tahoma"/>
          <w:color w:val="auto"/>
          <w:sz w:val="24"/>
          <w:szCs w:val="24"/>
          <w:lang w:bidi="ar-SA"/>
        </w:rPr>
      </w:pPr>
    </w:p>
    <w:p w:rsidR="008676C4" w:rsidRPr="00BC2B26" w:rsidRDefault="008676C4" w:rsidP="00976530">
      <w:pPr>
        <w:pStyle w:val="Nagwek4"/>
        <w:shd w:val="clear" w:color="auto" w:fill="FFFFFF"/>
        <w:spacing w:before="0" w:line="360" w:lineRule="auto"/>
        <w:jc w:val="both"/>
        <w:rPr>
          <w:rFonts w:ascii="Tahoma" w:hAnsi="Tahoma" w:cs="Tahoma"/>
          <w:bCs w:val="0"/>
          <w:i w:val="0"/>
          <w:color w:val="auto"/>
          <w:sz w:val="24"/>
          <w:szCs w:val="24"/>
        </w:rPr>
      </w:pPr>
      <w:r w:rsidRPr="00BC2B26">
        <w:rPr>
          <w:rFonts w:ascii="Tahoma" w:hAnsi="Tahoma" w:cs="Tahoma"/>
          <w:bCs w:val="0"/>
          <w:i w:val="0"/>
          <w:color w:val="auto"/>
          <w:sz w:val="24"/>
          <w:szCs w:val="24"/>
        </w:rPr>
        <w:lastRenderedPageBreak/>
        <w:t xml:space="preserve">Automatyczna aplikacja </w:t>
      </w:r>
      <w:r w:rsidR="00CD3CA5" w:rsidRPr="00BC2B26">
        <w:rPr>
          <w:rFonts w:ascii="Tahoma" w:hAnsi="Tahoma" w:cs="Tahoma"/>
          <w:bCs w:val="0"/>
          <w:i w:val="0"/>
          <w:color w:val="auto"/>
          <w:sz w:val="24"/>
          <w:szCs w:val="24"/>
        </w:rPr>
        <w:t>etykiety</w:t>
      </w:r>
      <w:r w:rsidRPr="00BC2B26">
        <w:rPr>
          <w:rFonts w:ascii="Tahoma" w:hAnsi="Tahoma" w:cs="Tahoma"/>
          <w:bCs w:val="0"/>
          <w:i w:val="0"/>
          <w:color w:val="auto"/>
          <w:sz w:val="24"/>
          <w:szCs w:val="24"/>
        </w:rPr>
        <w:t xml:space="preserve"> – korzyści </w:t>
      </w:r>
    </w:p>
    <w:p w:rsidR="002F6F3A" w:rsidRPr="00BC2B26" w:rsidRDefault="002F6F3A" w:rsidP="0097653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Fonts w:ascii="Tahoma" w:hAnsi="Tahoma" w:cs="Tahoma"/>
          <w:sz w:val="24"/>
          <w:szCs w:val="24"/>
        </w:rPr>
        <w:t xml:space="preserve">Wśród największych zalet zastosowania automatycznej aplikacji </w:t>
      </w:r>
      <w:proofErr w:type="spellStart"/>
      <w:r w:rsidRPr="00BC2B26">
        <w:rPr>
          <w:rFonts w:ascii="Tahoma" w:hAnsi="Tahoma" w:cs="Tahoma"/>
          <w:sz w:val="24"/>
          <w:szCs w:val="24"/>
        </w:rPr>
        <w:t>tagów</w:t>
      </w:r>
      <w:proofErr w:type="spellEnd"/>
      <w:r w:rsidRPr="00BC2B26">
        <w:rPr>
          <w:rFonts w:ascii="Tahoma" w:hAnsi="Tahoma" w:cs="Tahoma"/>
          <w:sz w:val="24"/>
          <w:szCs w:val="24"/>
        </w:rPr>
        <w:t xml:space="preserve"> antykradzieżowych znajdują się:</w:t>
      </w:r>
    </w:p>
    <w:p w:rsidR="008676C4" w:rsidRPr="00BC2B26" w:rsidRDefault="008676C4" w:rsidP="0097653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Style w:val="Pogrubienie"/>
          <w:rFonts w:ascii="Tahoma" w:hAnsi="Tahoma" w:cs="Tahoma"/>
          <w:b w:val="0"/>
          <w:sz w:val="24"/>
          <w:szCs w:val="24"/>
        </w:rPr>
        <w:t>możliwość aplikacji etykiety w dowolnym miejscu i orientacji na kartoniku</w:t>
      </w:r>
      <w:r w:rsidR="002F6F3A" w:rsidRPr="00BC2B26">
        <w:rPr>
          <w:rStyle w:val="Pogrubienie"/>
          <w:rFonts w:ascii="Tahoma" w:hAnsi="Tahoma" w:cs="Tahoma"/>
          <w:b w:val="0"/>
          <w:sz w:val="24"/>
          <w:szCs w:val="24"/>
        </w:rPr>
        <w:t xml:space="preserve"> (</w:t>
      </w:r>
      <w:r w:rsidR="002F6F3A" w:rsidRPr="00BC2B26">
        <w:rPr>
          <w:rFonts w:ascii="Tahoma" w:hAnsi="Tahoma" w:cs="Tahoma"/>
          <w:sz w:val="24"/>
          <w:szCs w:val="24"/>
        </w:rPr>
        <w:t>ze względu na możliwość przesuwania i obracania aplikatora na konstrukcji wsporczej),</w:t>
      </w:r>
    </w:p>
    <w:p w:rsidR="008676C4" w:rsidRPr="00BC2B26" w:rsidRDefault="008676C4" w:rsidP="0097653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Style w:val="Pogrubienie"/>
          <w:rFonts w:ascii="Tahoma" w:hAnsi="Tahoma" w:cs="Tahoma"/>
          <w:b w:val="0"/>
          <w:sz w:val="24"/>
          <w:szCs w:val="24"/>
        </w:rPr>
        <w:t>wydajność</w:t>
      </w:r>
      <w:r w:rsidR="002F6F3A" w:rsidRPr="00BC2B26">
        <w:rPr>
          <w:rFonts w:ascii="Tahoma" w:hAnsi="Tahoma" w:cs="Tahoma"/>
          <w:sz w:val="24"/>
          <w:szCs w:val="24"/>
        </w:rPr>
        <w:t> systemu znakowania (w</w:t>
      </w:r>
      <w:r w:rsidRPr="00BC2B26">
        <w:rPr>
          <w:rFonts w:ascii="Tahoma" w:hAnsi="Tahoma" w:cs="Tahoma"/>
          <w:sz w:val="24"/>
          <w:szCs w:val="24"/>
        </w:rPr>
        <w:t xml:space="preserve"> zależności od wielkości kartonika, wynosi od 10.000 do 12.000 produktów na godzinę</w:t>
      </w:r>
      <w:r w:rsidR="002F6F3A" w:rsidRPr="00BC2B26">
        <w:rPr>
          <w:rFonts w:ascii="Tahoma" w:hAnsi="Tahoma" w:cs="Tahoma"/>
          <w:sz w:val="24"/>
          <w:szCs w:val="24"/>
        </w:rPr>
        <w:t>),</w:t>
      </w:r>
    </w:p>
    <w:p w:rsidR="008676C4" w:rsidRPr="00BC2B26" w:rsidRDefault="002F6F3A" w:rsidP="00976530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Style w:val="Pogrubienie"/>
          <w:rFonts w:ascii="Tahoma" w:hAnsi="Tahoma" w:cs="Tahoma"/>
          <w:b w:val="0"/>
          <w:sz w:val="24"/>
          <w:szCs w:val="24"/>
        </w:rPr>
        <w:t xml:space="preserve">możliwość </w:t>
      </w:r>
      <w:r w:rsidR="008676C4" w:rsidRPr="00BC2B26">
        <w:rPr>
          <w:rStyle w:val="Pogrubienie"/>
          <w:rFonts w:ascii="Tahoma" w:hAnsi="Tahoma" w:cs="Tahoma"/>
          <w:b w:val="0"/>
          <w:sz w:val="24"/>
          <w:szCs w:val="24"/>
        </w:rPr>
        <w:t>znakowani</w:t>
      </w:r>
      <w:r w:rsidRPr="00BC2B26">
        <w:rPr>
          <w:rStyle w:val="Pogrubienie"/>
          <w:rFonts w:ascii="Tahoma" w:hAnsi="Tahoma" w:cs="Tahoma"/>
          <w:b w:val="0"/>
          <w:sz w:val="24"/>
          <w:szCs w:val="24"/>
        </w:rPr>
        <w:t>a</w:t>
      </w:r>
      <w:r w:rsidR="008676C4" w:rsidRPr="00BC2B26">
        <w:rPr>
          <w:rStyle w:val="Pogrubienie"/>
          <w:rFonts w:ascii="Tahoma" w:hAnsi="Tahoma" w:cs="Tahoma"/>
          <w:b w:val="0"/>
          <w:sz w:val="24"/>
          <w:szCs w:val="24"/>
        </w:rPr>
        <w:t xml:space="preserve"> szerokiej gamy produktów o różnych kształtach</w:t>
      </w:r>
      <w:r w:rsidRPr="00BC2B26">
        <w:rPr>
          <w:rFonts w:ascii="Tahoma" w:hAnsi="Tahoma" w:cs="Tahoma"/>
          <w:sz w:val="24"/>
          <w:szCs w:val="24"/>
        </w:rPr>
        <w:t xml:space="preserve"> (za pomocą regulowanego podajnika z mechanizmem ściągającym pojedyncze kartoniki ze stosu).</w:t>
      </w:r>
    </w:p>
    <w:p w:rsidR="00110022" w:rsidRPr="00BC2B26" w:rsidRDefault="00110022" w:rsidP="00110022">
      <w:pPr>
        <w:pStyle w:val="NormalnyWeb"/>
        <w:keepNext/>
        <w:shd w:val="clear" w:color="auto" w:fill="FFFFFF"/>
        <w:spacing w:before="0" w:beforeAutospacing="0" w:after="0" w:afterAutospacing="0" w:line="360" w:lineRule="auto"/>
        <w:jc w:val="center"/>
      </w:pPr>
      <w:r w:rsidRPr="00BC2B26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44876" cy="2416511"/>
            <wp:effectExtent l="19050" t="0" r="7974" b="0"/>
            <wp:docPr id="3" name="Obraz 2" descr="Materiały prasowe - Aplikacja tagó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ły prasowe - Aplikacja tagów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317" cy="24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C4" w:rsidRPr="00BC2B26" w:rsidRDefault="00110022" w:rsidP="00110022">
      <w:pPr>
        <w:pStyle w:val="Legenda"/>
        <w:jc w:val="center"/>
        <w:rPr>
          <w:rFonts w:ascii="Tahoma" w:hAnsi="Tahoma" w:cs="Tahoma"/>
          <w:sz w:val="24"/>
          <w:szCs w:val="24"/>
        </w:rPr>
      </w:pPr>
      <w:r w:rsidRPr="00BC2B26">
        <w:t>Materiały prasowe Etisoft</w:t>
      </w:r>
    </w:p>
    <w:p w:rsidR="008676C4" w:rsidRPr="00976530" w:rsidRDefault="00976530" w:rsidP="00976530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BC2B26">
        <w:rPr>
          <w:rFonts w:ascii="Tahoma" w:hAnsi="Tahoma" w:cs="Tahoma"/>
          <w:sz w:val="24"/>
          <w:szCs w:val="24"/>
        </w:rPr>
        <w:t xml:space="preserve">- </w:t>
      </w:r>
      <w:r w:rsidR="00CD3CA5" w:rsidRPr="00BC2B26">
        <w:rPr>
          <w:rFonts w:ascii="Tahoma" w:hAnsi="Tahoma" w:cs="Tahoma"/>
          <w:i/>
          <w:sz w:val="24"/>
          <w:szCs w:val="24"/>
        </w:rPr>
        <w:t xml:space="preserve">Tego rodzaju rozwiązanie sprawia, że etykiety mogą zostać zaaplikowane </w:t>
      </w:r>
      <w:r w:rsidR="008676C4" w:rsidRPr="00BC2B26">
        <w:rPr>
          <w:rFonts w:ascii="Tahoma" w:hAnsi="Tahoma" w:cs="Tahoma"/>
          <w:i/>
          <w:sz w:val="24"/>
          <w:szCs w:val="24"/>
        </w:rPr>
        <w:t>w dowolnym miejscu na kartonik</w:t>
      </w:r>
      <w:r w:rsidR="002F6F3A" w:rsidRPr="00BC2B26">
        <w:rPr>
          <w:rFonts w:ascii="Tahoma" w:hAnsi="Tahoma" w:cs="Tahoma"/>
          <w:i/>
          <w:sz w:val="24"/>
          <w:szCs w:val="24"/>
        </w:rPr>
        <w:t xml:space="preserve">u, </w:t>
      </w:r>
      <w:r w:rsidR="00CD3CA5" w:rsidRPr="00BC2B26">
        <w:rPr>
          <w:rFonts w:ascii="Tahoma" w:hAnsi="Tahoma" w:cs="Tahoma"/>
          <w:i/>
          <w:sz w:val="24"/>
          <w:szCs w:val="24"/>
        </w:rPr>
        <w:t>lecz</w:t>
      </w:r>
      <w:r w:rsidR="002F6F3A" w:rsidRPr="00BC2B26">
        <w:rPr>
          <w:rFonts w:ascii="Tahoma" w:hAnsi="Tahoma" w:cs="Tahoma"/>
          <w:i/>
          <w:sz w:val="24"/>
          <w:szCs w:val="24"/>
        </w:rPr>
        <w:t xml:space="preserve"> przede wszystkim zwiększa</w:t>
      </w:r>
      <w:r w:rsidR="008676C4" w:rsidRPr="00BC2B26">
        <w:rPr>
          <w:rFonts w:ascii="Tahoma" w:hAnsi="Tahoma" w:cs="Tahoma"/>
          <w:i/>
          <w:sz w:val="24"/>
          <w:szCs w:val="24"/>
        </w:rPr>
        <w:t xml:space="preserve"> wydajność znakowania</w:t>
      </w:r>
      <w:r w:rsidR="002F6F3A" w:rsidRPr="00BC2B26">
        <w:rPr>
          <w:rFonts w:ascii="Tahoma" w:hAnsi="Tahoma" w:cs="Tahoma"/>
          <w:i/>
          <w:sz w:val="24"/>
          <w:szCs w:val="24"/>
        </w:rPr>
        <w:t>. Różne</w:t>
      </w:r>
      <w:r w:rsidR="008676C4" w:rsidRPr="00BC2B26">
        <w:rPr>
          <w:rFonts w:ascii="Tahoma" w:hAnsi="Tahoma" w:cs="Tahoma"/>
          <w:i/>
          <w:sz w:val="24"/>
          <w:szCs w:val="24"/>
        </w:rPr>
        <w:t xml:space="preserve"> kształty znakowa</w:t>
      </w:r>
      <w:r w:rsidR="002F6F3A" w:rsidRPr="00BC2B26">
        <w:rPr>
          <w:rFonts w:ascii="Tahoma" w:hAnsi="Tahoma" w:cs="Tahoma"/>
          <w:i/>
          <w:sz w:val="24"/>
          <w:szCs w:val="24"/>
        </w:rPr>
        <w:t>nych opakowań przestają</w:t>
      </w:r>
      <w:r w:rsidR="008676C4" w:rsidRPr="00BC2B26">
        <w:rPr>
          <w:rFonts w:ascii="Tahoma" w:hAnsi="Tahoma" w:cs="Tahoma"/>
          <w:i/>
          <w:sz w:val="24"/>
          <w:szCs w:val="24"/>
        </w:rPr>
        <w:t xml:space="preserve"> być </w:t>
      </w:r>
      <w:r w:rsidR="002F6F3A" w:rsidRPr="00BC2B26">
        <w:rPr>
          <w:rFonts w:ascii="Tahoma" w:hAnsi="Tahoma" w:cs="Tahoma"/>
          <w:i/>
          <w:sz w:val="24"/>
          <w:szCs w:val="24"/>
        </w:rPr>
        <w:t>problematyczne i</w:t>
      </w:r>
      <w:r w:rsidR="00E87DB3" w:rsidRPr="00BC2B26">
        <w:rPr>
          <w:rFonts w:ascii="Tahoma" w:hAnsi="Tahoma" w:cs="Tahoma"/>
          <w:i/>
          <w:sz w:val="24"/>
          <w:szCs w:val="24"/>
        </w:rPr>
        <w:t xml:space="preserve"> nie wymagają zastosowania innej metody aplikacji</w:t>
      </w:r>
      <w:r w:rsidRPr="00BC2B26">
        <w:rPr>
          <w:rFonts w:ascii="Tahoma" w:hAnsi="Tahoma" w:cs="Tahoma"/>
          <w:sz w:val="24"/>
          <w:szCs w:val="24"/>
        </w:rPr>
        <w:t xml:space="preserve">– wyjaśnia Aleksander Wolny z Etisoft. </w:t>
      </w:r>
      <w:r w:rsidR="00194057" w:rsidRPr="00BC2B26">
        <w:rPr>
          <w:rFonts w:ascii="Tahoma" w:hAnsi="Tahoma" w:cs="Tahoma"/>
          <w:sz w:val="24"/>
          <w:szCs w:val="24"/>
        </w:rPr>
        <w:t xml:space="preserve">- </w:t>
      </w:r>
      <w:r w:rsidR="008676C4" w:rsidRPr="00BC2B26">
        <w:rPr>
          <w:rFonts w:ascii="Tahoma" w:hAnsi="Tahoma" w:cs="Tahoma"/>
          <w:i/>
          <w:sz w:val="24"/>
          <w:szCs w:val="24"/>
        </w:rPr>
        <w:t>To, na co warto zwrócić uwagę to fakt, iż z powodzeniem rozwiązanie to znajduje zastosowanie w znakowaniu każdego typu kartoników, nie tylko w branży kosmetycznej</w:t>
      </w:r>
      <w:r w:rsidR="00194057" w:rsidRPr="00BC2B26">
        <w:rPr>
          <w:rFonts w:ascii="Tahoma" w:hAnsi="Tahoma" w:cs="Tahoma"/>
          <w:sz w:val="24"/>
          <w:szCs w:val="24"/>
        </w:rPr>
        <w:t xml:space="preserve"> – dodaje ekspert z </w:t>
      </w:r>
      <w:proofErr w:type="spellStart"/>
      <w:r w:rsidR="00194057" w:rsidRPr="00BC2B26">
        <w:rPr>
          <w:rFonts w:ascii="Tahoma" w:hAnsi="Tahoma" w:cs="Tahoma"/>
          <w:sz w:val="24"/>
          <w:szCs w:val="24"/>
        </w:rPr>
        <w:t>Etisoft</w:t>
      </w:r>
      <w:proofErr w:type="spellEnd"/>
      <w:r w:rsidR="00194057" w:rsidRPr="00BC2B26">
        <w:rPr>
          <w:rFonts w:ascii="Tahoma" w:hAnsi="Tahoma" w:cs="Tahoma"/>
          <w:sz w:val="24"/>
          <w:szCs w:val="24"/>
        </w:rPr>
        <w:t>.</w:t>
      </w:r>
      <w:r w:rsidR="008676C4" w:rsidRPr="00BC2B26">
        <w:rPr>
          <w:rFonts w:ascii="Tahoma" w:hAnsi="Tahoma" w:cs="Tahoma"/>
          <w:sz w:val="24"/>
          <w:szCs w:val="24"/>
        </w:rPr>
        <w:t xml:space="preserve"> </w:t>
      </w:r>
      <w:r w:rsidR="00093A7A" w:rsidRPr="00BC2B26">
        <w:rPr>
          <w:rFonts w:ascii="Tahoma" w:hAnsi="Tahoma" w:cs="Tahoma"/>
          <w:sz w:val="24"/>
          <w:szCs w:val="24"/>
        </w:rPr>
        <w:t xml:space="preserve">Dla przykładu - </w:t>
      </w:r>
      <w:proofErr w:type="spellStart"/>
      <w:r w:rsidR="008676C4" w:rsidRPr="00BC2B26">
        <w:rPr>
          <w:rFonts w:ascii="Tahoma" w:hAnsi="Tahoma" w:cs="Tahoma"/>
          <w:sz w:val="24"/>
          <w:szCs w:val="24"/>
        </w:rPr>
        <w:t>aplikator</w:t>
      </w:r>
      <w:proofErr w:type="spellEnd"/>
      <w:r w:rsidR="008676C4" w:rsidRPr="00BC2B26">
        <w:rPr>
          <w:rFonts w:ascii="Tahoma" w:hAnsi="Tahoma" w:cs="Tahoma"/>
          <w:sz w:val="24"/>
          <w:szCs w:val="24"/>
        </w:rPr>
        <w:t> </w:t>
      </w:r>
      <w:proofErr w:type="spellStart"/>
      <w:r w:rsidR="008676C4" w:rsidRPr="00BC2B26">
        <w:rPr>
          <w:rStyle w:val="Pogrubienie"/>
          <w:rFonts w:ascii="Tahoma" w:hAnsi="Tahoma" w:cs="Tahoma"/>
          <w:b w:val="0"/>
          <w:sz w:val="24"/>
          <w:szCs w:val="24"/>
        </w:rPr>
        <w:t>Label-Aire</w:t>
      </w:r>
      <w:proofErr w:type="spellEnd"/>
      <w:r w:rsidR="008676C4" w:rsidRPr="00BC2B26">
        <w:rPr>
          <w:rStyle w:val="Pogrubienie"/>
          <w:rFonts w:ascii="Tahoma" w:hAnsi="Tahoma" w:cs="Tahoma"/>
          <w:b w:val="0"/>
          <w:sz w:val="24"/>
          <w:szCs w:val="24"/>
        </w:rPr>
        <w:t xml:space="preserve"> 3114 EAS</w:t>
      </w:r>
      <w:r w:rsidR="008676C4" w:rsidRPr="00BC2B26">
        <w:rPr>
          <w:rFonts w:ascii="Tahoma" w:hAnsi="Tahoma" w:cs="Tahoma"/>
          <w:sz w:val="24"/>
          <w:szCs w:val="24"/>
        </w:rPr>
        <w:t> pozwala na zabezpieczenie dowolnego typu produktów. Można go też stosować, w zależności od potrzeb, na różnych etapach pakowania lub już na produkcie finalnym.</w:t>
      </w:r>
    </w:p>
    <w:sectPr w:rsidR="008676C4" w:rsidRPr="00976530" w:rsidSect="006973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521" w:rsidRDefault="004E7521" w:rsidP="00812127">
      <w:r>
        <w:separator/>
      </w:r>
    </w:p>
  </w:endnote>
  <w:endnote w:type="continuationSeparator" w:id="0">
    <w:p w:rsidR="004E7521" w:rsidRDefault="004E7521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1EDD" w:rsidRPr="00E41EDD">
      <w:rPr>
        <w:noProof/>
      </w:rPr>
      <w:pict>
        <v:line id="Line 1" o:spid="_x0000_s4097" style="position:absolute;left:0;text-align:left;z-index:-251657728;visibility:visible;mso-wrap-distance-left:0;mso-wrap-distance-top:-6e-5mm;mso-wrap-distance-right:0;mso-wrap-distance-bottom:-6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521" w:rsidRDefault="004E7521" w:rsidP="00812127">
      <w:r>
        <w:separator/>
      </w:r>
    </w:p>
  </w:footnote>
  <w:footnote w:type="continuationSeparator" w:id="0">
    <w:p w:rsidR="004E7521" w:rsidRDefault="004E7521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C5DC7"/>
    <w:multiLevelType w:val="multilevel"/>
    <w:tmpl w:val="DD7EB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7051A"/>
    <w:multiLevelType w:val="multilevel"/>
    <w:tmpl w:val="ABD6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4C262A"/>
    <w:multiLevelType w:val="multilevel"/>
    <w:tmpl w:val="C820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176169"/>
    <w:multiLevelType w:val="multilevel"/>
    <w:tmpl w:val="7092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765BB"/>
    <w:rsid w:val="00086E11"/>
    <w:rsid w:val="00093A7A"/>
    <w:rsid w:val="00097258"/>
    <w:rsid w:val="000A170A"/>
    <w:rsid w:val="000B02A0"/>
    <w:rsid w:val="000D1763"/>
    <w:rsid w:val="000E5644"/>
    <w:rsid w:val="001017CB"/>
    <w:rsid w:val="00110022"/>
    <w:rsid w:val="00121BFC"/>
    <w:rsid w:val="00127CA9"/>
    <w:rsid w:val="00135EDA"/>
    <w:rsid w:val="00162C94"/>
    <w:rsid w:val="00172AC1"/>
    <w:rsid w:val="00180068"/>
    <w:rsid w:val="001857DF"/>
    <w:rsid w:val="001861CD"/>
    <w:rsid w:val="00193456"/>
    <w:rsid w:val="00194057"/>
    <w:rsid w:val="001A58A2"/>
    <w:rsid w:val="001E4B6E"/>
    <w:rsid w:val="001F5C91"/>
    <w:rsid w:val="0020273B"/>
    <w:rsid w:val="002306E2"/>
    <w:rsid w:val="00231C0E"/>
    <w:rsid w:val="00232888"/>
    <w:rsid w:val="0023730F"/>
    <w:rsid w:val="00241984"/>
    <w:rsid w:val="00275924"/>
    <w:rsid w:val="00284CD6"/>
    <w:rsid w:val="00291191"/>
    <w:rsid w:val="00291DE2"/>
    <w:rsid w:val="002C2555"/>
    <w:rsid w:val="002C7425"/>
    <w:rsid w:val="002D2AA7"/>
    <w:rsid w:val="002E3869"/>
    <w:rsid w:val="002F6F3A"/>
    <w:rsid w:val="00321934"/>
    <w:rsid w:val="00360555"/>
    <w:rsid w:val="00374CE5"/>
    <w:rsid w:val="0039003B"/>
    <w:rsid w:val="00391232"/>
    <w:rsid w:val="003A0EE0"/>
    <w:rsid w:val="003A645A"/>
    <w:rsid w:val="003B528F"/>
    <w:rsid w:val="003D5B18"/>
    <w:rsid w:val="003D6916"/>
    <w:rsid w:val="003F04A7"/>
    <w:rsid w:val="003F088D"/>
    <w:rsid w:val="003F5516"/>
    <w:rsid w:val="004006E7"/>
    <w:rsid w:val="00401012"/>
    <w:rsid w:val="00401723"/>
    <w:rsid w:val="00406C7C"/>
    <w:rsid w:val="00407B21"/>
    <w:rsid w:val="00413644"/>
    <w:rsid w:val="00415A2C"/>
    <w:rsid w:val="0042218E"/>
    <w:rsid w:val="00431142"/>
    <w:rsid w:val="004336ED"/>
    <w:rsid w:val="0043652E"/>
    <w:rsid w:val="004520BF"/>
    <w:rsid w:val="00452208"/>
    <w:rsid w:val="00461316"/>
    <w:rsid w:val="00463475"/>
    <w:rsid w:val="00463781"/>
    <w:rsid w:val="00467CBF"/>
    <w:rsid w:val="00476860"/>
    <w:rsid w:val="004835C8"/>
    <w:rsid w:val="004866EC"/>
    <w:rsid w:val="004962FD"/>
    <w:rsid w:val="004A6DB4"/>
    <w:rsid w:val="004B3425"/>
    <w:rsid w:val="004B79EA"/>
    <w:rsid w:val="004B7AB2"/>
    <w:rsid w:val="004C0A9A"/>
    <w:rsid w:val="004E3A41"/>
    <w:rsid w:val="004E7521"/>
    <w:rsid w:val="00507A69"/>
    <w:rsid w:val="00542312"/>
    <w:rsid w:val="0056042B"/>
    <w:rsid w:val="00566362"/>
    <w:rsid w:val="00580DFD"/>
    <w:rsid w:val="00583CED"/>
    <w:rsid w:val="00592C98"/>
    <w:rsid w:val="005A26E0"/>
    <w:rsid w:val="005A3787"/>
    <w:rsid w:val="005A6CB9"/>
    <w:rsid w:val="005C2DA3"/>
    <w:rsid w:val="005D584B"/>
    <w:rsid w:val="005D60D8"/>
    <w:rsid w:val="005E2E7D"/>
    <w:rsid w:val="005F209F"/>
    <w:rsid w:val="00603D79"/>
    <w:rsid w:val="00607045"/>
    <w:rsid w:val="00614CB8"/>
    <w:rsid w:val="0062159D"/>
    <w:rsid w:val="00640FF8"/>
    <w:rsid w:val="00650DFC"/>
    <w:rsid w:val="00653483"/>
    <w:rsid w:val="006745EB"/>
    <w:rsid w:val="0068008B"/>
    <w:rsid w:val="0068243D"/>
    <w:rsid w:val="006876DB"/>
    <w:rsid w:val="00695E9C"/>
    <w:rsid w:val="0069739C"/>
    <w:rsid w:val="006A491C"/>
    <w:rsid w:val="006B7102"/>
    <w:rsid w:val="006C018B"/>
    <w:rsid w:val="006C77E8"/>
    <w:rsid w:val="006D185D"/>
    <w:rsid w:val="006E488F"/>
    <w:rsid w:val="006F7A88"/>
    <w:rsid w:val="00731789"/>
    <w:rsid w:val="00733B04"/>
    <w:rsid w:val="0073666C"/>
    <w:rsid w:val="00736BC5"/>
    <w:rsid w:val="00740D51"/>
    <w:rsid w:val="00770676"/>
    <w:rsid w:val="00777A21"/>
    <w:rsid w:val="00783C31"/>
    <w:rsid w:val="00793C4C"/>
    <w:rsid w:val="007A545B"/>
    <w:rsid w:val="007A7CA8"/>
    <w:rsid w:val="007C28CC"/>
    <w:rsid w:val="007C2924"/>
    <w:rsid w:val="007F11F6"/>
    <w:rsid w:val="007F194D"/>
    <w:rsid w:val="00812127"/>
    <w:rsid w:val="0081317D"/>
    <w:rsid w:val="008205C7"/>
    <w:rsid w:val="0084280D"/>
    <w:rsid w:val="008601DB"/>
    <w:rsid w:val="00864946"/>
    <w:rsid w:val="00867033"/>
    <w:rsid w:val="008676C4"/>
    <w:rsid w:val="0087127D"/>
    <w:rsid w:val="00876C34"/>
    <w:rsid w:val="008860AD"/>
    <w:rsid w:val="008911EE"/>
    <w:rsid w:val="008944EC"/>
    <w:rsid w:val="008A4786"/>
    <w:rsid w:val="008A5398"/>
    <w:rsid w:val="008A57DE"/>
    <w:rsid w:val="008B59B4"/>
    <w:rsid w:val="008D0F9C"/>
    <w:rsid w:val="008D7D17"/>
    <w:rsid w:val="008F4CE3"/>
    <w:rsid w:val="008F7480"/>
    <w:rsid w:val="0090326B"/>
    <w:rsid w:val="009041E5"/>
    <w:rsid w:val="0091608C"/>
    <w:rsid w:val="00925B47"/>
    <w:rsid w:val="00926C7D"/>
    <w:rsid w:val="009435F0"/>
    <w:rsid w:val="00956821"/>
    <w:rsid w:val="009630C9"/>
    <w:rsid w:val="00976530"/>
    <w:rsid w:val="00977B70"/>
    <w:rsid w:val="0099473B"/>
    <w:rsid w:val="009A51E3"/>
    <w:rsid w:val="009B31F1"/>
    <w:rsid w:val="009B4023"/>
    <w:rsid w:val="009B59FC"/>
    <w:rsid w:val="009D0AB5"/>
    <w:rsid w:val="009F2E29"/>
    <w:rsid w:val="00A0575B"/>
    <w:rsid w:val="00A07DD0"/>
    <w:rsid w:val="00A1453E"/>
    <w:rsid w:val="00A2265A"/>
    <w:rsid w:val="00A371EF"/>
    <w:rsid w:val="00A71C3F"/>
    <w:rsid w:val="00A76690"/>
    <w:rsid w:val="00A7711A"/>
    <w:rsid w:val="00A843C9"/>
    <w:rsid w:val="00A937ED"/>
    <w:rsid w:val="00A96B49"/>
    <w:rsid w:val="00AC3E14"/>
    <w:rsid w:val="00AD51B0"/>
    <w:rsid w:val="00AE4EE9"/>
    <w:rsid w:val="00AE58AE"/>
    <w:rsid w:val="00B4011D"/>
    <w:rsid w:val="00B4274A"/>
    <w:rsid w:val="00B4590C"/>
    <w:rsid w:val="00B66C26"/>
    <w:rsid w:val="00B77048"/>
    <w:rsid w:val="00B77906"/>
    <w:rsid w:val="00B82B1C"/>
    <w:rsid w:val="00B960FB"/>
    <w:rsid w:val="00BA0179"/>
    <w:rsid w:val="00BA34DD"/>
    <w:rsid w:val="00BA7711"/>
    <w:rsid w:val="00BB2BEF"/>
    <w:rsid w:val="00BC2B26"/>
    <w:rsid w:val="00BD5F42"/>
    <w:rsid w:val="00C004BD"/>
    <w:rsid w:val="00C03A0C"/>
    <w:rsid w:val="00C32C3B"/>
    <w:rsid w:val="00C45E1B"/>
    <w:rsid w:val="00CB3F56"/>
    <w:rsid w:val="00CB571B"/>
    <w:rsid w:val="00CB7327"/>
    <w:rsid w:val="00CC7AE2"/>
    <w:rsid w:val="00CD3CA5"/>
    <w:rsid w:val="00CF4BA1"/>
    <w:rsid w:val="00D04CE7"/>
    <w:rsid w:val="00D06F80"/>
    <w:rsid w:val="00D13486"/>
    <w:rsid w:val="00D21CA8"/>
    <w:rsid w:val="00D22041"/>
    <w:rsid w:val="00D32A4F"/>
    <w:rsid w:val="00D362FD"/>
    <w:rsid w:val="00D43345"/>
    <w:rsid w:val="00D44DBB"/>
    <w:rsid w:val="00D5632D"/>
    <w:rsid w:val="00D74D01"/>
    <w:rsid w:val="00D75242"/>
    <w:rsid w:val="00D81CEF"/>
    <w:rsid w:val="00D87157"/>
    <w:rsid w:val="00D9501A"/>
    <w:rsid w:val="00D95434"/>
    <w:rsid w:val="00DA0C93"/>
    <w:rsid w:val="00DB754A"/>
    <w:rsid w:val="00DD4D0D"/>
    <w:rsid w:val="00DF4338"/>
    <w:rsid w:val="00E0355A"/>
    <w:rsid w:val="00E040AC"/>
    <w:rsid w:val="00E11A73"/>
    <w:rsid w:val="00E12D2E"/>
    <w:rsid w:val="00E161C8"/>
    <w:rsid w:val="00E20120"/>
    <w:rsid w:val="00E21F0A"/>
    <w:rsid w:val="00E41EDD"/>
    <w:rsid w:val="00E44282"/>
    <w:rsid w:val="00E50BE0"/>
    <w:rsid w:val="00E62D25"/>
    <w:rsid w:val="00E633B1"/>
    <w:rsid w:val="00E65BCB"/>
    <w:rsid w:val="00E87DB3"/>
    <w:rsid w:val="00E90E05"/>
    <w:rsid w:val="00EA3D74"/>
    <w:rsid w:val="00EA6AFA"/>
    <w:rsid w:val="00EC1E3D"/>
    <w:rsid w:val="00ED1313"/>
    <w:rsid w:val="00ED5613"/>
    <w:rsid w:val="00ED772A"/>
    <w:rsid w:val="00EE5E59"/>
    <w:rsid w:val="00EE62B6"/>
    <w:rsid w:val="00EE7D76"/>
    <w:rsid w:val="00F11D51"/>
    <w:rsid w:val="00F2580B"/>
    <w:rsid w:val="00F27F9E"/>
    <w:rsid w:val="00F44AB9"/>
    <w:rsid w:val="00F72F47"/>
    <w:rsid w:val="00F736F0"/>
    <w:rsid w:val="00F74DB0"/>
    <w:rsid w:val="00F77130"/>
    <w:rsid w:val="00F77FC8"/>
    <w:rsid w:val="00F93F23"/>
    <w:rsid w:val="00F9430B"/>
    <w:rsid w:val="00F945B4"/>
    <w:rsid w:val="00FB78AC"/>
    <w:rsid w:val="00FC0895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2">
    <w:name w:val="heading 2"/>
    <w:basedOn w:val="Normalny"/>
    <w:link w:val="Nagwek2Znak"/>
    <w:uiPriority w:val="9"/>
    <w:qFormat/>
    <w:rsid w:val="00D5632D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styleId="Nagwek3">
    <w:name w:val="heading 3"/>
    <w:basedOn w:val="Normalny"/>
    <w:link w:val="Nagwek3Znak"/>
    <w:uiPriority w:val="9"/>
    <w:qFormat/>
    <w:rsid w:val="00D5632D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Nagwek5">
    <w:name w:val="heading 5"/>
    <w:basedOn w:val="Normalny"/>
    <w:link w:val="Nagwek5Znak"/>
    <w:uiPriority w:val="9"/>
    <w:qFormat/>
    <w:rsid w:val="00D5632D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paragraph" w:styleId="Poprawka">
    <w:name w:val="Revision"/>
    <w:hidden/>
    <w:uiPriority w:val="99"/>
    <w:semiHidden/>
    <w:rsid w:val="002D2AA7"/>
    <w:pPr>
      <w:widowControl/>
      <w:autoSpaceDE/>
      <w:autoSpaceDN/>
    </w:pPr>
    <w:rPr>
      <w:rFonts w:ascii="Raleway" w:eastAsia="Raleway" w:hAnsi="Raleway" w:cs="Raleway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5632D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5632D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5632D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8676C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C4"/>
    <w:rPr>
      <w:rFonts w:asciiTheme="majorHAnsi" w:eastAsiaTheme="majorEastAsia" w:hAnsiTheme="majorHAnsi" w:cstheme="majorBidi"/>
      <w:b/>
      <w:bCs/>
      <w:i/>
      <w:iCs/>
      <w:color w:val="1CADE4" w:themeColor="accent1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1F6F6-3F42-4766-9A49-85F20E9B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494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9</cp:revision>
  <dcterms:created xsi:type="dcterms:W3CDTF">2020-01-30T17:53:00Z</dcterms:created>
  <dcterms:modified xsi:type="dcterms:W3CDTF">2020-02-01T07:12:00Z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